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bidi w:val="0"/>
        <w:adjustRightInd/>
        <w:snapToGrid/>
        <w:spacing w:line="560" w:lineRule="exact"/>
        <w:jc w:val="center"/>
        <w:textAlignment w:val="auto"/>
        <w:outlineLvl w:val="9"/>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13.</w:t>
      </w:r>
      <w:r>
        <w:rPr>
          <w:rFonts w:hint="eastAsia" w:ascii="方正小标宋简体" w:hAnsi="方正小标宋简体" w:eastAsia="方正小标宋简体" w:cs="方正小标宋简体"/>
          <w:bCs/>
          <w:sz w:val="44"/>
          <w:szCs w:val="44"/>
        </w:rPr>
        <w:t>建筑工程施工许可</w:t>
      </w:r>
      <w:r>
        <w:rPr>
          <w:rFonts w:hint="eastAsia" w:ascii="方正小标宋简体" w:hAnsi="方正小标宋简体" w:eastAsia="方正小标宋简体" w:cs="方正小标宋简体"/>
          <w:bCs/>
          <w:sz w:val="44"/>
          <w:szCs w:val="44"/>
          <w:lang w:val="en-US" w:eastAsia="zh-CN"/>
        </w:rPr>
        <w:t>证核发</w:t>
      </w:r>
      <w:r>
        <w:rPr>
          <w:rFonts w:hint="eastAsia" w:ascii="方正小标宋简体" w:hAnsi="方正小标宋简体" w:eastAsia="方正小标宋简体" w:cs="方正小标宋简体"/>
          <w:bCs/>
          <w:spacing w:val="-20"/>
          <w:sz w:val="44"/>
          <w:szCs w:val="44"/>
        </w:rPr>
        <w:t>事中事后监管细则</w:t>
      </w:r>
    </w:p>
    <w:p>
      <w:pPr>
        <w:keepNext w:val="0"/>
        <w:keepLines w:val="0"/>
        <w:pageBreakBefore w:val="0"/>
        <w:kinsoku/>
        <w:wordWrap/>
        <w:overflowPunct/>
        <w:topLinePunct w:val="0"/>
        <w:autoSpaceDE/>
        <w:bidi w:val="0"/>
        <w:adjustRightInd/>
        <w:snapToGrid/>
        <w:spacing w:line="560" w:lineRule="exact"/>
        <w:ind w:firstLine="880" w:firstLineChars="200"/>
        <w:jc w:val="center"/>
        <w:textAlignment w:val="auto"/>
        <w:outlineLvl w:val="9"/>
        <w:rPr>
          <w:rFonts w:hint="eastAsia" w:ascii="方正小标宋简体" w:hAnsi="方正小标宋简体" w:eastAsia="方正小标宋简体" w:cs="方正小标宋简体"/>
          <w:sz w:val="44"/>
          <w:szCs w:val="44"/>
        </w:rPr>
      </w:pPr>
      <w:bookmarkStart w:id="1" w:name="_GoBack"/>
      <w:bookmarkEnd w:id="1"/>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为深入推进简政放权、放管结合、优化服务，加强对“建筑工程施工许可”事中事后监管工作，规范政府权力运行，根据相关法律法规和《安徽省政府权力运行监督管理办法》，结合工作实际，制定本监管细则。</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_GB2312"/>
        </w:rPr>
        <w:t>第</w:t>
      </w:r>
      <w:r>
        <w:rPr>
          <w:rFonts w:hint="eastAsia" w:ascii="仿宋_GB2312"/>
          <w:lang w:val="en-US" w:eastAsia="zh-CN"/>
        </w:rPr>
        <w:t>13</w:t>
      </w:r>
      <w:r>
        <w:rPr>
          <w:rFonts w:hint="eastAsia" w:ascii="仿宋_GB2312"/>
        </w:rPr>
        <w:t>项，权力类型：行政许可，项目名称：建筑工程施工许可。</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黑体" w:hAnsi="黑体" w:eastAsia="黑体"/>
          <w:bCs/>
        </w:rPr>
      </w:pPr>
      <w:r>
        <w:rPr>
          <w:rFonts w:hint="eastAsia" w:ascii="黑体" w:hAnsi="黑体" w:eastAsia="黑体"/>
          <w:bCs/>
        </w:rPr>
        <w:t>一、基本原则</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一）坚持“法无授权不可为、法定职权必须为”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黑体" w:hAnsi="黑体" w:eastAsia="黑体"/>
          <w:bCs/>
        </w:rPr>
      </w:pPr>
      <w:r>
        <w:rPr>
          <w:rFonts w:hint="eastAsia" w:ascii="黑体" w:hAnsi="黑体" w:eastAsia="黑体"/>
          <w:bCs/>
        </w:rPr>
        <w:t>二、事中监管</w:t>
      </w:r>
    </w:p>
    <w:p>
      <w:pPr>
        <w:keepNext w:val="0"/>
        <w:keepLines w:val="0"/>
        <w:pageBreakBefore w:val="0"/>
        <w:kinsoku/>
        <w:wordWrap/>
        <w:overflowPunct/>
        <w:topLinePunct w:val="0"/>
        <w:autoSpaceDE/>
        <w:bidi w:val="0"/>
        <w:adjustRightInd/>
        <w:snapToGrid/>
        <w:spacing w:line="560" w:lineRule="exact"/>
        <w:ind w:firstLine="472" w:firstLineChars="147"/>
        <w:textAlignment w:val="auto"/>
        <w:outlineLvl w:val="9"/>
        <w:rPr>
          <w:rFonts w:hint="eastAsia" w:ascii="楷体_GB2312" w:eastAsia="楷体_GB2312"/>
          <w:b/>
          <w:bCs/>
        </w:rPr>
      </w:pPr>
      <w:r>
        <w:rPr>
          <w:rFonts w:hint="eastAsia" w:ascii="楷体_GB2312" w:eastAsia="楷体_GB2312"/>
          <w:b/>
          <w:bCs/>
        </w:rPr>
        <w:t>（一）监管任务</w:t>
      </w:r>
    </w:p>
    <w:p>
      <w:pPr>
        <w:pStyle w:val="3"/>
        <w:keepNext w:val="0"/>
        <w:keepLines w:val="0"/>
        <w:pageBreakBefore w:val="0"/>
        <w:widowControl/>
        <w:kinsoku/>
        <w:wordWrap/>
        <w:overflowPunct/>
        <w:topLinePunct w:val="0"/>
        <w:autoSpaceDE/>
        <w:bidi w:val="0"/>
        <w:adjustRightInd/>
        <w:snapToGrid/>
        <w:spacing w:line="560" w:lineRule="exact"/>
        <w:ind w:firstLine="640" w:firstLineChars="200"/>
        <w:textAlignment w:val="auto"/>
        <w:outlineLvl w:val="9"/>
        <w:rPr>
          <w:rFonts w:hint="eastAsia" w:ascii="仿宋_GB2312" w:cs="仿宋_GB2312"/>
          <w:sz w:val="32"/>
          <w:szCs w:val="32"/>
        </w:rPr>
      </w:pPr>
      <w:r>
        <w:rPr>
          <w:rFonts w:hint="eastAsia" w:ascii="仿宋_GB2312" w:hAnsi="仿宋_GB2312" w:cs="仿宋_GB2312"/>
          <w:sz w:val="32"/>
          <w:szCs w:val="32"/>
        </w:rPr>
        <w:t>建设工程施工许可证办理申报范围：指在</w:t>
      </w:r>
      <w:r>
        <w:rPr>
          <w:rFonts w:hint="eastAsia" w:ascii="仿宋_GB2312" w:hAnsi="仿宋_GB2312" w:cs="仿宋_GB2312"/>
          <w:sz w:val="32"/>
          <w:szCs w:val="32"/>
          <w:lang w:eastAsia="zh-CN"/>
        </w:rPr>
        <w:t>祁门县</w:t>
      </w:r>
      <w:r>
        <w:rPr>
          <w:rFonts w:hint="eastAsia" w:ascii="仿宋_GB2312" w:hAnsi="仿宋_GB2312" w:cs="仿宋_GB2312"/>
          <w:sz w:val="32"/>
          <w:szCs w:val="32"/>
        </w:rPr>
        <w:t>中心城区范围内从事各类房屋建筑及其附属设施的建造、装修装饰和与其配套的线路、管道、设备安装，以及城镇市政基础设施工程的施工，建设单位应该申请领取施工许可证。</w:t>
      </w:r>
    </w:p>
    <w:p>
      <w:pPr>
        <w:keepNext w:val="0"/>
        <w:keepLines w:val="0"/>
        <w:pageBreakBefore w:val="0"/>
        <w:kinsoku/>
        <w:wordWrap/>
        <w:overflowPunct/>
        <w:topLinePunct w:val="0"/>
        <w:autoSpaceDE/>
        <w:bidi w:val="0"/>
        <w:adjustRightInd/>
        <w:snapToGrid/>
        <w:spacing w:line="560" w:lineRule="exact"/>
        <w:ind w:firstLine="643" w:firstLineChars="200"/>
        <w:textAlignment w:val="auto"/>
        <w:outlineLvl w:val="9"/>
        <w:rPr>
          <w:rFonts w:hint="eastAsia" w:ascii="仿宋_GB2312"/>
        </w:rPr>
      </w:pPr>
      <w:r>
        <w:rPr>
          <w:rFonts w:hint="eastAsia" w:ascii="仿宋_GB2312"/>
          <w:b/>
          <w:bCs/>
        </w:rPr>
        <w:t>1、审查申报资料是否符合施工许可申领要求</w:t>
      </w:r>
      <w:r>
        <w:rPr>
          <w:rFonts w:hint="eastAsia" w:ascii="仿宋_GB2312"/>
        </w:rPr>
        <w:t>。主要包括：</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lang w:eastAsia="zh-CN"/>
        </w:rPr>
      </w:pPr>
      <w:bookmarkStart w:id="0" w:name="_Hlk35439004"/>
      <w:r>
        <w:rPr>
          <w:rFonts w:hint="eastAsia" w:ascii="仿宋_GB2312"/>
          <w:lang w:eastAsia="zh-CN"/>
        </w:rPr>
        <w:t>（1）</w:t>
      </w:r>
      <w:r>
        <w:rPr>
          <w:rFonts w:hint="eastAsia" w:ascii="仿宋_GB2312"/>
          <w:lang w:val="en-US" w:eastAsia="zh-CN"/>
        </w:rPr>
        <w:t>中华人民共和国建设工程规划许可证</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lang w:eastAsia="zh-CN"/>
        </w:rPr>
      </w:pPr>
      <w:r>
        <w:rPr>
          <w:rFonts w:hint="eastAsia" w:ascii="仿宋_GB2312"/>
          <w:lang w:eastAsia="zh-CN"/>
        </w:rPr>
        <w:t>（2）</w:t>
      </w:r>
      <w:r>
        <w:rPr>
          <w:rFonts w:hint="eastAsia" w:ascii="仿宋_GB2312"/>
          <w:lang w:val="en-US" w:eastAsia="zh-CN"/>
        </w:rPr>
        <w:t>施工图审查合格证书(简易低风险项目无需提供)</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lang w:eastAsia="zh-CN"/>
        </w:rPr>
      </w:pPr>
      <w:r>
        <w:rPr>
          <w:rFonts w:hint="eastAsia" w:ascii="仿宋_GB2312"/>
          <w:lang w:eastAsia="zh-CN"/>
        </w:rPr>
        <w:t>（3）</w:t>
      </w:r>
      <w:r>
        <w:rPr>
          <w:rFonts w:hint="eastAsia" w:ascii="仿宋_GB2312"/>
          <w:lang w:val="en-US" w:eastAsia="zh-CN"/>
        </w:rPr>
        <w:t>建设用地批准书</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lang w:eastAsia="zh-CN"/>
        </w:rPr>
      </w:pPr>
      <w:r>
        <w:rPr>
          <w:rFonts w:hint="eastAsia" w:ascii="仿宋_GB2312"/>
          <w:lang w:eastAsia="zh-CN"/>
        </w:rPr>
        <w:t>（4）</w:t>
      </w:r>
      <w:r>
        <w:rPr>
          <w:rFonts w:hint="eastAsia" w:ascii="仿宋_GB2312"/>
          <w:lang w:val="en-US" w:eastAsia="zh-CN"/>
        </w:rPr>
        <w:t>建设工程施工合同(招标发包的工程项目需要提供中标通知书)</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lang w:eastAsia="zh-CN"/>
        </w:rPr>
      </w:pPr>
      <w:r>
        <w:rPr>
          <w:rFonts w:hint="eastAsia" w:ascii="仿宋_GB2312"/>
          <w:lang w:eastAsia="zh-CN"/>
        </w:rPr>
        <w:t>（5）</w:t>
      </w:r>
      <w:r>
        <w:rPr>
          <w:rFonts w:hint="eastAsia" w:ascii="仿宋_GB2312"/>
          <w:lang w:val="en-US" w:eastAsia="zh-CN"/>
        </w:rPr>
        <w:t>保证工程质量安全的具体措施</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lang w:eastAsia="zh-CN"/>
        </w:rPr>
      </w:pPr>
      <w:r>
        <w:rPr>
          <w:rFonts w:hint="eastAsia" w:ascii="仿宋_GB2312"/>
          <w:lang w:eastAsia="zh-CN"/>
        </w:rPr>
        <w:t>（6）</w:t>
      </w:r>
      <w:r>
        <w:rPr>
          <w:rFonts w:hint="eastAsia" w:ascii="仿宋_GB2312"/>
          <w:lang w:val="en-US" w:eastAsia="zh-CN"/>
        </w:rPr>
        <w:t>具备施工条件承诺(含建设资金落实承诺)</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lang w:eastAsia="zh-CN"/>
        </w:rPr>
      </w:pPr>
      <w:r>
        <w:rPr>
          <w:rFonts w:hint="eastAsia" w:ascii="仿宋_GB2312"/>
          <w:lang w:eastAsia="zh-CN"/>
        </w:rPr>
        <w:t>（7）</w:t>
      </w:r>
      <w:r>
        <w:rPr>
          <w:rFonts w:hint="eastAsia" w:ascii="仿宋_GB2312"/>
          <w:lang w:val="en-US" w:eastAsia="zh-CN"/>
        </w:rPr>
        <w:t>施工组织设计会审表</w:t>
      </w:r>
    </w:p>
    <w:bookmarkEnd w:id="0"/>
    <w:p>
      <w:pPr>
        <w:keepNext w:val="0"/>
        <w:keepLines w:val="0"/>
        <w:pageBreakBefore w:val="0"/>
        <w:kinsoku/>
        <w:wordWrap/>
        <w:overflowPunct/>
        <w:topLinePunct w:val="0"/>
        <w:autoSpaceDE/>
        <w:bidi w:val="0"/>
        <w:adjustRightInd/>
        <w:snapToGrid/>
        <w:spacing w:line="560" w:lineRule="exact"/>
        <w:ind w:firstLine="643" w:firstLineChars="200"/>
        <w:textAlignment w:val="auto"/>
        <w:outlineLvl w:val="9"/>
        <w:rPr>
          <w:rFonts w:hint="eastAsia" w:ascii="仿宋_GB2312"/>
          <w:b/>
          <w:bCs/>
        </w:rPr>
      </w:pPr>
      <w:r>
        <w:rPr>
          <w:rFonts w:hint="eastAsia" w:ascii="仿宋_GB2312"/>
          <w:b/>
          <w:bCs/>
        </w:rPr>
        <w:t>2、是否依法组织报批。</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lang w:eastAsia="zh-CN"/>
        </w:rPr>
        <w:t>祁门县住房和城乡建设局</w:t>
      </w:r>
      <w:r>
        <w:rPr>
          <w:rFonts w:hint="eastAsia" w:ascii="仿宋_GB2312"/>
        </w:rPr>
        <w:t>负责对建设单位提交的申报材料进行审核，予以许可决定，并发放施工许可证。</w:t>
      </w:r>
    </w:p>
    <w:p>
      <w:pPr>
        <w:keepNext w:val="0"/>
        <w:keepLines w:val="0"/>
        <w:pageBreakBefore w:val="0"/>
        <w:kinsoku/>
        <w:wordWrap/>
        <w:overflowPunct/>
        <w:topLinePunct w:val="0"/>
        <w:autoSpaceDE/>
        <w:bidi w:val="0"/>
        <w:adjustRightInd/>
        <w:snapToGrid/>
        <w:spacing w:line="560" w:lineRule="exact"/>
        <w:ind w:firstLine="643" w:firstLineChars="200"/>
        <w:textAlignment w:val="auto"/>
        <w:outlineLvl w:val="9"/>
        <w:rPr>
          <w:rFonts w:hint="eastAsia" w:ascii="楷体_GB2312" w:eastAsia="楷体_GB2312"/>
          <w:b/>
          <w:bCs/>
        </w:rPr>
      </w:pPr>
      <w:r>
        <w:rPr>
          <w:rFonts w:hint="eastAsia" w:ascii="楷体_GB2312" w:eastAsia="楷体_GB2312"/>
          <w:b/>
          <w:bCs/>
        </w:rPr>
        <w:t>（二）监督检查程序</w:t>
      </w:r>
    </w:p>
    <w:p>
      <w:pPr>
        <w:keepNext w:val="0"/>
        <w:keepLines w:val="0"/>
        <w:pageBreakBefore w:val="0"/>
        <w:kinsoku/>
        <w:wordWrap/>
        <w:overflowPunct/>
        <w:topLinePunct w:val="0"/>
        <w:autoSpaceDE/>
        <w:bidi w:val="0"/>
        <w:adjustRightInd/>
        <w:snapToGrid/>
        <w:spacing w:line="560" w:lineRule="exact"/>
        <w:ind w:firstLine="643" w:firstLineChars="200"/>
        <w:textAlignment w:val="auto"/>
        <w:outlineLvl w:val="9"/>
        <w:rPr>
          <w:rFonts w:hint="eastAsia" w:ascii="仿宋_GB2312"/>
        </w:rPr>
      </w:pPr>
      <w:r>
        <w:rPr>
          <w:rFonts w:hint="eastAsia" w:ascii="仿宋_GB2312"/>
          <w:b/>
          <w:bCs/>
        </w:rPr>
        <w:t>1、制定监督检查方案。</w:t>
      </w:r>
      <w:r>
        <w:rPr>
          <w:rFonts w:hint="eastAsia" w:ascii="仿宋_GB2312"/>
        </w:rPr>
        <w:t>现场监督检查方案应包括现场监督检查的时间、人员及分工、监督检查的标准和内容等。</w:t>
      </w:r>
    </w:p>
    <w:p>
      <w:pPr>
        <w:keepNext w:val="0"/>
        <w:keepLines w:val="0"/>
        <w:pageBreakBefore w:val="0"/>
        <w:kinsoku/>
        <w:wordWrap/>
        <w:overflowPunct/>
        <w:topLinePunct w:val="0"/>
        <w:autoSpaceDE/>
        <w:bidi w:val="0"/>
        <w:adjustRightInd/>
        <w:snapToGrid/>
        <w:spacing w:line="560" w:lineRule="exact"/>
        <w:ind w:firstLine="643" w:firstLineChars="200"/>
        <w:textAlignment w:val="auto"/>
        <w:outlineLvl w:val="9"/>
        <w:rPr>
          <w:rFonts w:ascii="仿宋_GB2312"/>
        </w:rPr>
      </w:pPr>
      <w:r>
        <w:rPr>
          <w:rFonts w:hint="eastAsia" w:ascii="仿宋_GB2312"/>
          <w:b/>
          <w:bCs/>
        </w:rPr>
        <w:t>2、实施现场检查。</w:t>
      </w:r>
      <w:r>
        <w:rPr>
          <w:rFonts w:hint="eastAsia" w:ascii="仿宋_GB2312"/>
        </w:rPr>
        <w:t>施工许可核准实行动态检查（一年两次），由</w:t>
      </w:r>
      <w:r>
        <w:rPr>
          <w:rFonts w:hint="eastAsia" w:ascii="仿宋_GB2312"/>
          <w:lang w:eastAsia="zh-CN"/>
        </w:rPr>
        <w:t>祁门县住房和城乡建设局行政审批股</w:t>
      </w:r>
      <w:r>
        <w:rPr>
          <w:rFonts w:hint="eastAsia" w:ascii="仿宋_GB2312"/>
        </w:rPr>
        <w:t>负责组织牵头，每次检查执法人员2人以上，从执法人员库中随机抽取，监督检查前应出示执法证件，根据施工许可的核发，现场检查申请施工许可证的工程名称、地点、规模是否真实；施工现场项目部、项目监理机构关键岗位人员与建设工程施工合同、建设工程监理合同中明确的是否一致等事项。</w:t>
      </w:r>
    </w:p>
    <w:p>
      <w:pPr>
        <w:keepNext w:val="0"/>
        <w:keepLines w:val="0"/>
        <w:pageBreakBefore w:val="0"/>
        <w:kinsoku/>
        <w:wordWrap/>
        <w:overflowPunct/>
        <w:topLinePunct w:val="0"/>
        <w:autoSpaceDE/>
        <w:bidi w:val="0"/>
        <w:adjustRightInd/>
        <w:snapToGrid/>
        <w:spacing w:line="560" w:lineRule="exact"/>
        <w:ind w:firstLine="643" w:firstLineChars="200"/>
        <w:textAlignment w:val="auto"/>
        <w:outlineLvl w:val="9"/>
        <w:rPr>
          <w:rFonts w:hint="eastAsia" w:ascii="仿宋_GB2312"/>
        </w:rPr>
      </w:pPr>
      <w:r>
        <w:rPr>
          <w:rFonts w:hint="eastAsia" w:ascii="仿宋_GB2312"/>
          <w:b/>
          <w:bCs/>
        </w:rPr>
        <w:t>3、监督检查结果。</w:t>
      </w:r>
      <w:r>
        <w:rPr>
          <w:rFonts w:hint="eastAsia" w:ascii="仿宋_GB2312"/>
        </w:rPr>
        <w:t>对监督检查中发现的主要问题，监督检查人员提出整改建议及整改期限，以事中监管反馈意见单的形式告知申请人，检查人员和申请人（或申请单位主要负责人或委托授权人）签字等。</w:t>
      </w:r>
    </w:p>
    <w:p>
      <w:pPr>
        <w:keepNext w:val="0"/>
        <w:keepLines w:val="0"/>
        <w:pageBreakBefore w:val="0"/>
        <w:kinsoku/>
        <w:wordWrap/>
        <w:overflowPunct/>
        <w:topLinePunct w:val="0"/>
        <w:autoSpaceDE/>
        <w:bidi w:val="0"/>
        <w:adjustRightInd/>
        <w:snapToGrid/>
        <w:spacing w:line="560" w:lineRule="exact"/>
        <w:ind w:firstLine="643" w:firstLineChars="200"/>
        <w:textAlignment w:val="auto"/>
        <w:outlineLvl w:val="9"/>
        <w:rPr>
          <w:rFonts w:hint="eastAsia" w:ascii="仿宋_GB2312"/>
        </w:rPr>
      </w:pPr>
      <w:r>
        <w:rPr>
          <w:rFonts w:hint="eastAsia" w:ascii="仿宋_GB2312"/>
          <w:b/>
          <w:bCs/>
        </w:rPr>
        <w:t>4、发现违法行为后依法处置。</w:t>
      </w:r>
      <w:r>
        <w:rPr>
          <w:rFonts w:hint="eastAsia" w:ascii="仿宋_GB2312"/>
        </w:rPr>
        <w:t>对申请人隐瞒有关真实情况或是提供虚假资料的，应依法下达不予受理通知书或不予行政许可决定书，并给予警告，符合立案条件的进行立案，依法进行行政处罚。</w:t>
      </w:r>
    </w:p>
    <w:p>
      <w:pPr>
        <w:keepNext w:val="0"/>
        <w:keepLines w:val="0"/>
        <w:pageBreakBefore w:val="0"/>
        <w:kinsoku/>
        <w:wordWrap/>
        <w:overflowPunct/>
        <w:topLinePunct w:val="0"/>
        <w:autoSpaceDE/>
        <w:autoSpaceDN w:val="0"/>
        <w:bidi w:val="0"/>
        <w:adjustRightInd/>
        <w:snapToGrid/>
        <w:spacing w:line="560" w:lineRule="exact"/>
        <w:ind w:firstLine="640"/>
        <w:jc w:val="left"/>
        <w:textAlignment w:val="auto"/>
        <w:outlineLvl w:val="9"/>
        <w:rPr>
          <w:rFonts w:hint="eastAsia" w:ascii="楷体_GB2312" w:hAnsi="仿宋_GB2312" w:eastAsia="楷体_GB2312" w:cs="仿宋_GB2312"/>
        </w:rPr>
      </w:pPr>
      <w:r>
        <w:rPr>
          <w:rFonts w:hint="eastAsia" w:ascii="楷体_GB2312" w:hAnsi="仿宋_GB2312" w:eastAsia="楷体_GB2312" w:cs="仿宋_GB2312"/>
          <w:b/>
          <w:bCs/>
        </w:rPr>
        <w:t>（三）现场检查。主要包括：</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1、申请施工许可证的工程名称、地点、规模是否真实；</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2、施工现场项目部、项目监理机构关键岗位人员与建设工程施工合同、建设工程监理合同中明确的是否一致。</w:t>
      </w:r>
    </w:p>
    <w:p>
      <w:pPr>
        <w:keepNext w:val="0"/>
        <w:keepLines w:val="0"/>
        <w:pageBreakBefore w:val="0"/>
        <w:kinsoku/>
        <w:wordWrap/>
        <w:overflowPunct/>
        <w:topLinePunct w:val="0"/>
        <w:autoSpaceDE/>
        <w:bidi w:val="0"/>
        <w:adjustRightInd/>
        <w:snapToGrid/>
        <w:spacing w:line="560" w:lineRule="exact"/>
        <w:ind w:firstLine="643" w:firstLineChars="200"/>
        <w:textAlignment w:val="auto"/>
        <w:outlineLvl w:val="9"/>
        <w:rPr>
          <w:rFonts w:hint="eastAsia" w:ascii="楷体_GB2312" w:eastAsia="楷体_GB2312"/>
          <w:b/>
          <w:bCs/>
        </w:rPr>
      </w:pPr>
      <w:r>
        <w:rPr>
          <w:rFonts w:hint="eastAsia" w:ascii="楷体_GB2312" w:eastAsia="楷体_GB2312"/>
          <w:b/>
          <w:bCs/>
        </w:rPr>
        <w:t>（四）建立监管档案</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施工许可的监管档案。监管档案主要内容包括：1、施工许可审查意见表；2、建设单位申报资料；3、符合条件后发放的施工许可证复印件。</w:t>
      </w:r>
    </w:p>
    <w:p>
      <w:pPr>
        <w:keepNext w:val="0"/>
        <w:keepLines w:val="0"/>
        <w:pageBreakBefore w:val="0"/>
        <w:kinsoku/>
        <w:wordWrap/>
        <w:overflowPunct/>
        <w:topLinePunct w:val="0"/>
        <w:autoSpaceDE/>
        <w:bidi w:val="0"/>
        <w:adjustRightInd/>
        <w:snapToGrid/>
        <w:spacing w:line="560" w:lineRule="exact"/>
        <w:ind w:firstLine="643" w:firstLineChars="200"/>
        <w:textAlignment w:val="auto"/>
        <w:outlineLvl w:val="9"/>
        <w:rPr>
          <w:rFonts w:hint="eastAsia" w:ascii="楷体_GB2312" w:eastAsia="楷体_GB2312"/>
          <w:b/>
          <w:bCs/>
        </w:rPr>
      </w:pPr>
      <w:r>
        <w:rPr>
          <w:rFonts w:hint="eastAsia" w:ascii="楷体_GB2312" w:eastAsia="楷体_GB2312"/>
          <w:b/>
          <w:bCs/>
        </w:rPr>
        <w:t>（五）信用监管</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建设单位隐瞒有关情况或者提供虚假材料申请施工许可证的，发证机关不予受理或者不予许可；构成犯罪的，依法追究刑事责任。申请人在取得施工许可证后，应当自领取施工许可证之日起3个月内开工，因故不能按期开工的，应当在期满前向发证机关申请延期；延期以两次为限，每次不超过3个月。既不开工又不申请延期或者超过延期次数、时限的，施工许可证自行废止。</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黑体" w:hAnsi="黑体" w:eastAsia="黑体"/>
          <w:bCs/>
        </w:rPr>
      </w:pPr>
      <w:r>
        <w:rPr>
          <w:rFonts w:hint="eastAsia" w:ascii="黑体" w:hAnsi="黑体" w:eastAsia="黑体"/>
          <w:bCs/>
        </w:rPr>
        <w:t>三、事后监管</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ascii="仿宋_GB2312"/>
        </w:rPr>
      </w:pPr>
      <w:r>
        <w:rPr>
          <w:rFonts w:hint="eastAsia" w:ascii="仿宋_GB2312"/>
        </w:rPr>
        <w:t>（一）个人或组织发现申请人（单位）在建筑业企业活动中有违法违规现象，有权向</w:t>
      </w:r>
      <w:r>
        <w:rPr>
          <w:rFonts w:hint="eastAsia" w:ascii="仿宋_GB2312"/>
          <w:lang w:eastAsia="zh-CN"/>
        </w:rPr>
        <w:t>祁门县住建局</w:t>
      </w:r>
      <w:r>
        <w:rPr>
          <w:rFonts w:hint="eastAsia" w:ascii="仿宋_GB2312"/>
        </w:rPr>
        <w:t>举报（举报地址：</w:t>
      </w:r>
      <w:r>
        <w:rPr>
          <w:rFonts w:hint="eastAsia" w:ascii="仿宋_GB2312"/>
          <w:lang w:eastAsia="zh-CN"/>
        </w:rPr>
        <w:t>祁门县住建局</w:t>
      </w:r>
      <w:r>
        <w:rPr>
          <w:rFonts w:hint="eastAsia" w:ascii="仿宋_GB2312"/>
        </w:rPr>
        <w:t>;举报电话：0559-</w:t>
      </w:r>
      <w:r>
        <w:rPr>
          <w:rFonts w:hint="eastAsia" w:ascii="仿宋_GB2312"/>
          <w:lang w:val="en-US" w:eastAsia="zh-CN"/>
        </w:rPr>
        <w:t>4512045</w:t>
      </w:r>
      <w:r>
        <w:rPr>
          <w:rFonts w:hint="eastAsia" w:ascii="仿宋_GB2312"/>
        </w:rPr>
        <w:t>），</w:t>
      </w:r>
      <w:r>
        <w:rPr>
          <w:rFonts w:hint="eastAsia" w:ascii="仿宋_GB2312"/>
          <w:lang w:eastAsia="zh-CN"/>
        </w:rPr>
        <w:t>祁门县住建局</w:t>
      </w:r>
      <w:r>
        <w:rPr>
          <w:rFonts w:hint="eastAsia" w:ascii="仿宋_GB2312"/>
        </w:rPr>
        <w:t>将及时核实、处理，并将核实、处理结果书面告知举报人。</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（二）发现建设单位伪造或者涂改施工许可证的，由发证机关责令停止施工；构成犯罪的，依法追究刑事责任。</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三）发现未取得施工许可证擅自开工等违法、违规行为的，应当依法查处，并依规定对建设、施工单位记不良记录。对取得施工许可证后条件发生变化、延期开工、中止施工等行为进行监督检查，发现违法违规行为及时处理。</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（四）建设单位采用欺骗、贿赂等不正当手段取得施工许可证的，由原发证机关撤销施工许可证，责令停止施工，构成犯罪的，依法追究刑事责任。</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（五）行政相对人和利害关系人对</w:t>
      </w:r>
      <w:r>
        <w:rPr>
          <w:rFonts w:hint="eastAsia" w:ascii="仿宋_GB2312"/>
          <w:lang w:eastAsia="zh-CN"/>
        </w:rPr>
        <w:t>祁门县住房和城乡建设局</w:t>
      </w:r>
      <w:r>
        <w:rPr>
          <w:rFonts w:hint="eastAsia" w:ascii="仿宋_GB2312"/>
        </w:rPr>
        <w:t>在该许可工作中作出的具体行政决定不服的，可以自收到决定之日起60日内向</w:t>
      </w:r>
      <w:r>
        <w:rPr>
          <w:rFonts w:hint="eastAsia" w:ascii="仿宋_GB2312" w:hAnsi="宋体"/>
          <w:color w:val="000000"/>
          <w:kern w:val="0"/>
          <w:sz w:val="32"/>
          <w:szCs w:val="32"/>
          <w:lang w:val="zh-CN"/>
        </w:rPr>
        <w:t>祁门县</w:t>
      </w:r>
      <w:r>
        <w:rPr>
          <w:rFonts w:hint="eastAsia" w:ascii="仿宋_GB2312" w:hAnsi="宋体" w:eastAsia="仿宋_GB2312"/>
          <w:color w:val="000000"/>
          <w:kern w:val="0"/>
          <w:sz w:val="32"/>
          <w:szCs w:val="32"/>
          <w:lang w:val="zh-CN"/>
        </w:rPr>
        <w:t>人民政府</w:t>
      </w:r>
      <w:r>
        <w:rPr>
          <w:rFonts w:hint="eastAsia" w:ascii="仿宋_GB2312" w:hAnsi="宋体"/>
          <w:color w:val="000000"/>
          <w:kern w:val="0"/>
          <w:sz w:val="32"/>
          <w:szCs w:val="32"/>
          <w:lang w:val="zh-CN"/>
        </w:rPr>
        <w:t>或市住建局</w:t>
      </w:r>
      <w:r>
        <w:rPr>
          <w:rFonts w:hint="eastAsia" w:ascii="仿宋_GB2312" w:hAnsi="宋体" w:eastAsia="仿宋_GB2312"/>
          <w:color w:val="000000"/>
          <w:kern w:val="0"/>
          <w:sz w:val="32"/>
          <w:szCs w:val="32"/>
          <w:lang w:val="zh-CN"/>
        </w:rPr>
        <w:t>申请行政复议</w:t>
      </w:r>
      <w:r>
        <w:rPr>
          <w:rFonts w:hint="eastAsia" w:ascii="仿宋_GB2312"/>
          <w:lang w:eastAsia="zh-CN"/>
        </w:rPr>
        <w:t>，</w:t>
      </w:r>
      <w:r>
        <w:rPr>
          <w:rFonts w:hint="eastAsia" w:ascii="仿宋_GB2312"/>
        </w:rPr>
        <w:t>也可以于6个月内依法向人民法院提起行政诉讼。行政复议或者行政诉讼期间，行政决定不停在执行。</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黑体" w:hAnsi="黑体" w:eastAsia="黑体"/>
          <w:bCs/>
        </w:rPr>
      </w:pPr>
      <w:r>
        <w:rPr>
          <w:rFonts w:hint="eastAsia" w:ascii="黑体" w:hAnsi="黑体" w:eastAsia="黑体"/>
          <w:bCs/>
        </w:rPr>
        <w:t>四、责任追究</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发证机关及其工作人员，违反本办法，有下列情形之一的，由</w:t>
      </w:r>
      <w:r>
        <w:rPr>
          <w:rFonts w:hint="eastAsia" w:ascii="仿宋_GB2312"/>
          <w:lang w:eastAsia="zh-CN"/>
        </w:rPr>
        <w:t>祁门县住建局</w:t>
      </w:r>
      <w:r>
        <w:rPr>
          <w:rFonts w:hint="eastAsia" w:ascii="仿宋_GB2312"/>
        </w:rPr>
        <w:t>责令改正；情节严重的，对直接负责的主管人员和其他直接责任人员，依法给予行政处分（</w:t>
      </w:r>
      <w:r>
        <w:rPr>
          <w:rFonts w:hint="eastAsia" w:ascii="仿宋_GB2312" w:hAnsi="仿宋_GB2312" w:cs="仿宋_GB2312"/>
        </w:rPr>
        <w:t>举报地址：</w:t>
      </w:r>
      <w:r>
        <w:rPr>
          <w:rFonts w:hint="eastAsia" w:ascii="仿宋_GB2312" w:hAnsi="仿宋_GB2312" w:cs="仿宋_GB2312"/>
          <w:lang w:eastAsia="zh-CN"/>
        </w:rPr>
        <w:t>祁门县住建局</w:t>
      </w:r>
      <w:r>
        <w:rPr>
          <w:rFonts w:hint="eastAsia" w:ascii="仿宋_GB2312" w:hAnsi="仿宋_GB2312" w:cs="仿宋_GB2312"/>
        </w:rPr>
        <w:t>，举报电话：0559-</w:t>
      </w:r>
      <w:r>
        <w:rPr>
          <w:rFonts w:hint="eastAsia" w:ascii="仿宋_GB2312" w:hAnsi="仿宋_GB2312" w:cs="仿宋_GB2312"/>
          <w:lang w:val="en-US" w:eastAsia="zh-CN"/>
        </w:rPr>
        <w:t>4512045</w:t>
      </w:r>
      <w:r>
        <w:rPr>
          <w:rFonts w:hint="eastAsia" w:ascii="仿宋_GB2312" w:hAnsi="仿宋_GB2312" w:cs="仿宋_GB2312"/>
        </w:rPr>
        <w:t>）</w:t>
      </w:r>
      <w:r>
        <w:rPr>
          <w:rFonts w:hint="eastAsia" w:ascii="仿宋_GB2312"/>
        </w:rPr>
        <w:t>。</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（一）对不符合条件的申请人准予施工许可的；</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（二）对符合条件的申请人不予施工许可或者未在法定期限内作出准予许可决定的；</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（三）对符合条件的申请不予受理的；</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（四）利用职务上的便利，收受他人财物或者谋取其他利益的；</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（五）不依法履行监督职责或者监督不力，造成严重后果的。</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黑体" w:hAnsi="黑体" w:eastAsia="黑体"/>
          <w:bCs/>
        </w:rPr>
      </w:pPr>
      <w:r>
        <w:rPr>
          <w:rFonts w:hint="eastAsia" w:ascii="黑体" w:hAnsi="黑体" w:eastAsia="黑体"/>
          <w:bCs/>
        </w:rPr>
        <w:t>五、保障措施</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（一）理清权责边界。针对权力交叉、监管空白等问题，根据“属地管理”原则，明确权力范围和责任范围，建立上下联动监管机制。</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（二）加强人员培训。</w:t>
      </w:r>
      <w:r>
        <w:rPr>
          <w:rFonts w:hint="eastAsia" w:ascii="仿宋_GB2312"/>
          <w:lang w:eastAsia="zh-CN"/>
        </w:rPr>
        <w:t>祁门县住房和城乡建设局</w:t>
      </w:r>
      <w:r>
        <w:rPr>
          <w:rFonts w:hint="eastAsia" w:ascii="仿宋_GB2312"/>
        </w:rPr>
        <w:t>应当加强对</w:t>
      </w:r>
      <w:r>
        <w:rPr>
          <w:rFonts w:hint="eastAsia" w:ascii="仿宋_GB2312"/>
          <w:lang w:eastAsia="zh-CN"/>
        </w:rPr>
        <w:t>行政执法</w:t>
      </w:r>
      <w:r>
        <w:rPr>
          <w:rFonts w:hint="eastAsia" w:ascii="仿宋_GB2312"/>
        </w:rPr>
        <w:t>人员法律、法规、标准和专业知识与执法能力培训，并适时组织考核。不具备相应知识和能力的，不得从事建筑业行政执法工作。</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（三）加强政策宣传。运用多种方式宣传施工许可证相关法律法规，提升管理人员的公仆意识。</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黑体" w:hAnsi="黑体" w:eastAsia="黑体"/>
          <w:bCs/>
        </w:rPr>
      </w:pPr>
      <w:r>
        <w:rPr>
          <w:rFonts w:hint="eastAsia" w:ascii="黑体" w:hAnsi="黑体" w:eastAsia="黑体"/>
          <w:bCs/>
        </w:rPr>
        <w:t>六、主要依据</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《中华人民共和国建筑法》第七条</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_GB2312"/>
        </w:rPr>
      </w:pPr>
      <w:r>
        <w:rPr>
          <w:rFonts w:hint="eastAsia" w:ascii="仿宋_GB2312"/>
        </w:rPr>
        <w:t>《建筑工程施工许可管理办法》（2021年3月30日中华人民共和国住房和城乡建设部令第52号公布修改）第二条《安徽省建筑工程施工许可证管理实施细则》第三条</w:t>
      </w:r>
    </w:p>
    <w:p/>
    <w:sectPr>
      <w:headerReference r:id="rId3" w:type="default"/>
      <w:pgSz w:w="11907" w:h="16840"/>
      <w:pgMar w:top="1440" w:right="1531" w:bottom="1440"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7B827C66"/>
    <w:rsid w:val="0ED84011"/>
    <w:rsid w:val="0FFB43E1"/>
    <w:rsid w:val="504E6C0B"/>
    <w:rsid w:val="57F84DFE"/>
    <w:rsid w:val="710D1ED9"/>
    <w:rsid w:val="7B827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3">
    <w:name w:val="Normal (Web)"/>
    <w:basedOn w:val="1"/>
    <w:autoRedefine/>
    <w:qFormat/>
    <w:uiPriority w:val="0"/>
    <w:pPr>
      <w:jc w:val="left"/>
    </w:pPr>
    <w:rPr>
      <w:rFonts w:ascii="Calibri" w:hAnsi="Calibri"/>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2024-01-18T02:20:00Z</dcterms:created>
  <dc:creator>沉默的小布芬</dc:creator>
  <cp:lastModifiedBy>沉默的小布芬</cp:lastModifiedBy>
  <dcterms:modified xsi:type="dcterms:W3CDTF">2024-02-28T08:38:06Z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790225832F64423488384E96B88CCB44_11</vt:lpwstr>
  </property>
</Properties>
</file>